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194B5F98" w14:textId="77777777" w:rsidR="009855A1" w:rsidRPr="009855A1" w:rsidRDefault="009855A1" w:rsidP="009855A1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9855A1">
        <w:rPr>
          <w:rFonts w:ascii="Verdana" w:hAnsi="Verdana"/>
          <w:b/>
          <w:smallCaps/>
          <w:sz w:val="32"/>
          <w:szCs w:val="32"/>
        </w:rPr>
        <w:t>OŚRODKU SZKOLENIA KIEROWCÓW „MOTOTOM”</w:t>
      </w:r>
    </w:p>
    <w:p w14:paraId="7B9F197D" w14:textId="77777777" w:rsidR="009855A1" w:rsidRPr="009855A1" w:rsidRDefault="009855A1" w:rsidP="009855A1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9855A1">
        <w:rPr>
          <w:rFonts w:ascii="Verdana" w:hAnsi="Verdana"/>
          <w:b/>
          <w:smallCaps/>
          <w:sz w:val="32"/>
          <w:szCs w:val="32"/>
        </w:rPr>
        <w:t>TOMASZ BARAN</w:t>
      </w:r>
    </w:p>
    <w:p w14:paraId="4DD292CE" w14:textId="77777777" w:rsidR="009855A1" w:rsidRDefault="009855A1" w:rsidP="009855A1">
      <w:pPr>
        <w:spacing w:line="360" w:lineRule="auto"/>
        <w:jc w:val="center"/>
        <w:rPr>
          <w:rFonts w:ascii="Verdana" w:hAnsi="Verdana"/>
          <w:b/>
          <w:bCs/>
          <w:i/>
          <w:iCs/>
          <w:smallCaps/>
          <w:sz w:val="32"/>
          <w:szCs w:val="32"/>
        </w:rPr>
      </w:pPr>
      <w:r w:rsidRPr="009855A1">
        <w:rPr>
          <w:rFonts w:ascii="Verdana" w:hAnsi="Verdana"/>
          <w:b/>
          <w:smallCaps/>
          <w:sz w:val="32"/>
          <w:szCs w:val="32"/>
        </w:rPr>
        <w:t>UL. TOPOLOWA 32, 31-506 KRAKÓW</w:t>
      </w:r>
      <w:r w:rsidRPr="009855A1">
        <w:rPr>
          <w:rFonts w:ascii="Verdana" w:hAnsi="Verdana"/>
          <w:b/>
          <w:bCs/>
          <w:i/>
          <w:iCs/>
          <w:smallCaps/>
          <w:sz w:val="32"/>
          <w:szCs w:val="32"/>
        </w:rPr>
        <w:t xml:space="preserve"> </w:t>
      </w:r>
    </w:p>
    <w:p w14:paraId="7E12A7C5" w14:textId="2FCC5B2D" w:rsidR="00075F5F" w:rsidRPr="00145EE8" w:rsidRDefault="00075F5F" w:rsidP="009855A1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religii,  czy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4962CDB0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takim przypadku pracownik ma obowiązek poinformować o tym pracodawcę lub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telefon,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7AC42FC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</w:t>
      </w:r>
      <w:r w:rsidR="001852E6" w:rsidRPr="00145EE8">
        <w:rPr>
          <w:rFonts w:ascii="Verdana" w:eastAsia="Lato" w:hAnsi="Verdana" w:cs="Lato"/>
          <w:color w:val="000000"/>
          <w:sz w:val="20"/>
          <w:szCs w:val="20"/>
        </w:rPr>
        <w:t>sytuacji,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686"/>
        <w:gridCol w:w="2579"/>
        <w:gridCol w:w="2232"/>
      </w:tblGrid>
      <w:tr w:rsidR="00075F5F" w:rsidRPr="00145EE8" w14:paraId="0BC1828C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Przygotowanie pracowników do stosowania standardów 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ochrony małoletnich i monitorowanie przestrzegania standardów ochrony małoletnich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C078EC5" w14:textId="7494C9A0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8FCDC3B" w14:textId="3ABDE168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075F5F" w:rsidRPr="00145EE8" w14:paraId="77B74B80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B7AD49F" w14:textId="6A79BC70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3BB5B8" w14:textId="72088972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075F5F" w:rsidRPr="00145EE8" w14:paraId="4C58F05A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9CD27B" w14:textId="355AFD3F" w:rsidR="00075F5F" w:rsidRPr="00145EE8" w:rsidRDefault="009855A1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9855A1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5439286" w14:textId="1A8948EB" w:rsidR="00075F5F" w:rsidRPr="00145EE8" w:rsidRDefault="009855A1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9855A1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075F5F" w:rsidRPr="00145EE8" w14:paraId="3E173755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032D81A" w14:textId="6CB6647A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99030F" w14:textId="6E8E30BB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  <w:tr w:rsidR="00075F5F" w:rsidRPr="00145EE8" w14:paraId="0AC41992" w14:textId="77777777" w:rsidTr="009855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5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A2DDB1D" w14:textId="3A868B1B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Tomasz Baran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C3BBCBB" w14:textId="541384CC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55A1" w:rsidRPr="009855A1">
              <w:rPr>
                <w:rFonts w:ascii="Verdana" w:eastAsia="Lato" w:hAnsi="Verdana" w:cs="Lato"/>
                <w:sz w:val="20"/>
                <w:szCs w:val="20"/>
              </w:rPr>
              <w:t>501700756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30202">
    <w:abstractNumId w:val="1"/>
  </w:num>
  <w:num w:numId="2" w16cid:durableId="1828784371">
    <w:abstractNumId w:val="2"/>
  </w:num>
  <w:num w:numId="3" w16cid:durableId="9817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39"/>
    <w:rsid w:val="00053A66"/>
    <w:rsid w:val="00075F5F"/>
    <w:rsid w:val="00091821"/>
    <w:rsid w:val="000A67F4"/>
    <w:rsid w:val="001852E6"/>
    <w:rsid w:val="005266A9"/>
    <w:rsid w:val="00533A42"/>
    <w:rsid w:val="00620949"/>
    <w:rsid w:val="00706AB3"/>
    <w:rsid w:val="007C4333"/>
    <w:rsid w:val="009855A1"/>
    <w:rsid w:val="00AA2589"/>
    <w:rsid w:val="00B71BDC"/>
    <w:rsid w:val="00B77839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Andrew Baran</cp:lastModifiedBy>
  <cp:revision>3</cp:revision>
  <dcterms:created xsi:type="dcterms:W3CDTF">2025-07-04T15:15:00Z</dcterms:created>
  <dcterms:modified xsi:type="dcterms:W3CDTF">2025-07-06T17:25:00Z</dcterms:modified>
</cp:coreProperties>
</file>